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before="60" w:after="60" w:line="312" w:lineRule="auto"/>
      </w:pPr>
    </w:p>
    <w:p>
      <w:pPr>
        <w:pStyle w:val="Body"/>
        <w:spacing w:before="60" w:after="60" w:line="312" w:lineRule="auto"/>
        <w:jc w:val="center"/>
        <w:rPr>
          <w:b w:val="1"/>
          <w:bCs w:val="1"/>
          <w:outline w:val="0"/>
          <w:color w:val="919191"/>
          <w:sz w:val="40"/>
          <w:szCs w:val="40"/>
          <w14:textFill>
            <w14:solidFill>
              <w14:srgbClr w14:val="929292"/>
            </w14:solidFill>
          </w14:textFill>
        </w:rPr>
      </w:pPr>
      <w:r>
        <w:rPr>
          <w:b w:val="1"/>
          <w:bCs w:val="1"/>
          <w:outline w:val="0"/>
          <w:color w:val="919191"/>
          <w:sz w:val="40"/>
          <w:szCs w:val="40"/>
          <w:rtl w:val="0"/>
          <w:lang w:val="en-US"/>
          <w14:textFill>
            <w14:solidFill>
              <w14:srgbClr w14:val="929292"/>
            </w14:solidFill>
          </w14:textFill>
        </w:rPr>
        <w:t>TEMPLATE</w:t>
      </w:r>
    </w:p>
    <w:p>
      <w:pPr>
        <w:pStyle w:val="Body"/>
        <w:spacing w:before="60" w:after="60" w:line="312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Problem Statement Worksheet</w:t>
      </w:r>
    </w:p>
    <w:p>
      <w:pPr>
        <w:pStyle w:val="Body"/>
        <w:bidi w:val="0"/>
      </w:pPr>
    </w:p>
    <w:p>
      <w:pPr>
        <w:pStyle w:val="Body"/>
        <w:bidi w:val="0"/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5"/>
        <w:gridCol w:w="4815"/>
      </w:tblGrid>
      <w:tr>
        <w:tblPrEx>
          <w:shd w:val="clear" w:color="auto" w:fill="auto"/>
        </w:tblPrEx>
        <w:trPr>
          <w:trHeight w:val="947" w:hRule="atLeast"/>
        </w:trPr>
        <w:tc>
          <w:tcPr>
            <w:tcW w:type="dxa" w:w="963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40"/>
              <w:left w:type="dxa" w:w="240"/>
              <w:bottom w:type="dxa" w:w="240"/>
              <w:right w:type="dxa" w:w="240"/>
            </w:tcMar>
            <w:vAlign w:val="top"/>
          </w:tcPr>
          <w:p>
            <w:pPr>
              <w:pStyle w:val="Table Style 2"/>
              <w:spacing w:before="60" w:after="60" w:line="312" w:lineRule="auto"/>
              <w:rPr>
                <w:b w:val="1"/>
                <w:bCs w:val="1"/>
                <w:sz w:val="22"/>
                <w:szCs w:val="22"/>
              </w:rPr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Basic question to be resolved</w:t>
            </w:r>
          </w:p>
          <w:p>
            <w:pPr>
              <w:pStyle w:val="Table Style 2"/>
              <w:spacing w:before="60" w:after="60" w:line="312" w:lineRule="auto"/>
            </w:pPr>
            <w:r>
              <w:rPr>
                <w:sz w:val="22"/>
                <w:szCs w:val="22"/>
                <w:rtl w:val="0"/>
                <w:lang w:val="en-US"/>
              </w:rPr>
              <w:t>States what must resolved, in a SMART questions (specific, measurable, action-oriented, relevant, and time-bound)</w:t>
            </w:r>
          </w:p>
        </w:tc>
      </w:tr>
      <w:tr>
        <w:tblPrEx>
          <w:shd w:val="clear" w:color="auto" w:fill="auto"/>
        </w:tblPrEx>
        <w:trPr>
          <w:trHeight w:val="1567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40"/>
              <w:left w:type="dxa" w:w="240"/>
              <w:bottom w:type="dxa" w:w="240"/>
              <w:right w:type="dxa" w:w="240"/>
            </w:tcMar>
            <w:vAlign w:val="top"/>
          </w:tcPr>
          <w:p>
            <w:pPr>
              <w:pStyle w:val="Table Style 2"/>
              <w:spacing w:before="60" w:after="60" w:line="312" w:lineRule="auto"/>
              <w:rPr>
                <w:b w:val="1"/>
                <w:bCs w:val="1"/>
                <w:sz w:val="22"/>
                <w:szCs w:val="22"/>
              </w:rPr>
            </w:pPr>
            <w:r>
              <w:rPr>
                <w:b w:val="1"/>
                <w:bCs w:val="1"/>
                <w:sz w:val="22"/>
                <w:szCs w:val="22"/>
                <w:rtl w:val="0"/>
                <w:lang w:val="fr-FR"/>
              </w:rPr>
              <w:t>Context</w:t>
            </w:r>
          </w:p>
          <w:p>
            <w:pPr>
              <w:pStyle w:val="Table Style 2"/>
              <w:spacing w:before="60" w:after="60" w:line="312" w:lineRule="auto"/>
            </w:pPr>
            <w:r>
              <w:rPr>
                <w:sz w:val="22"/>
                <w:szCs w:val="22"/>
                <w:rtl w:val="0"/>
                <w:lang w:val="en-US"/>
              </w:rPr>
              <w:t>Sets out the situation and complication (e.g., industry trends, global crisis)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40"/>
              <w:left w:type="dxa" w:w="240"/>
              <w:bottom w:type="dxa" w:w="240"/>
              <w:right w:type="dxa" w:w="240"/>
            </w:tcMar>
            <w:vAlign w:val="top"/>
          </w:tcPr>
          <w:p>
            <w:pPr>
              <w:pStyle w:val="Table Style 2"/>
              <w:spacing w:before="60" w:after="60" w:line="312" w:lineRule="auto"/>
              <w:rPr>
                <w:b w:val="1"/>
                <w:bCs w:val="1"/>
                <w:sz w:val="22"/>
                <w:szCs w:val="22"/>
              </w:rPr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Constraints</w:t>
            </w:r>
          </w:p>
          <w:p>
            <w:pPr>
              <w:pStyle w:val="Table Style 2"/>
              <w:spacing w:before="60" w:after="60" w:line="312" w:lineRule="auto"/>
            </w:pPr>
            <w:r>
              <w:rPr>
                <w:sz w:val="22"/>
                <w:szCs w:val="22"/>
                <w:rtl w:val="0"/>
                <w:lang w:val="en-US"/>
              </w:rPr>
              <w:t>Limits the set of solutions that can be considered (e.g., must involve organic rather than inorganic growth, must not involve firing people)</w:t>
            </w:r>
          </w:p>
        </w:tc>
      </w:tr>
      <w:tr>
        <w:tblPrEx>
          <w:shd w:val="clear" w:color="auto" w:fill="auto"/>
        </w:tblPrEx>
        <w:trPr>
          <w:trHeight w:val="1257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40"/>
              <w:left w:type="dxa" w:w="240"/>
              <w:bottom w:type="dxa" w:w="240"/>
              <w:right w:type="dxa" w:w="240"/>
            </w:tcMar>
            <w:vAlign w:val="top"/>
          </w:tcPr>
          <w:p>
            <w:pPr>
              <w:pStyle w:val="Table Style 2"/>
              <w:spacing w:before="60" w:after="60" w:line="312" w:lineRule="auto"/>
              <w:rPr>
                <w:b w:val="1"/>
                <w:bCs w:val="1"/>
                <w:sz w:val="22"/>
                <w:szCs w:val="22"/>
              </w:rPr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Success criteria</w:t>
            </w:r>
          </w:p>
          <w:p>
            <w:pPr>
              <w:pStyle w:val="Table Style 2"/>
              <w:spacing w:before="60" w:after="60" w:line="312" w:lineRule="auto"/>
            </w:pPr>
            <w:r>
              <w:rPr>
                <w:sz w:val="22"/>
                <w:szCs w:val="22"/>
                <w:rtl w:val="0"/>
                <w:lang w:val="en-US"/>
              </w:rPr>
              <w:t>Defines success for your engagement, shared by you and project owner (quantitative and qualitative measures)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40"/>
              <w:left w:type="dxa" w:w="240"/>
              <w:bottom w:type="dxa" w:w="240"/>
              <w:right w:type="dxa" w:w="240"/>
            </w:tcMar>
            <w:vAlign w:val="top"/>
          </w:tcPr>
          <w:p>
            <w:pPr>
              <w:pStyle w:val="Table Style 2"/>
              <w:spacing w:before="60" w:after="60" w:line="312" w:lineRule="auto"/>
              <w:rPr>
                <w:b w:val="1"/>
                <w:bCs w:val="1"/>
                <w:sz w:val="22"/>
                <w:szCs w:val="22"/>
              </w:rPr>
            </w:pPr>
            <w:r>
              <w:rPr>
                <w:b w:val="1"/>
                <w:bCs w:val="1"/>
                <w:sz w:val="22"/>
                <w:szCs w:val="22"/>
                <w:rtl w:val="0"/>
              </w:rPr>
              <w:t>Stakeholders</w:t>
            </w:r>
          </w:p>
          <w:p>
            <w:pPr>
              <w:pStyle w:val="Table Style 2"/>
              <w:spacing w:before="60" w:after="60" w:line="312" w:lineRule="auto"/>
            </w:pPr>
            <w:r>
              <w:rPr>
                <w:sz w:val="22"/>
                <w:szCs w:val="22"/>
                <w:rtl w:val="0"/>
                <w:lang w:val="en-US"/>
              </w:rPr>
              <w:t>Identifies who makes decisions and who else could support or derail the study (e.g., department manager, outside influencers)</w:t>
            </w:r>
          </w:p>
        </w:tc>
      </w:tr>
      <w:tr>
        <w:tblPrEx>
          <w:shd w:val="clear" w:color="auto" w:fill="auto"/>
        </w:tblPrEx>
        <w:trPr>
          <w:trHeight w:val="1567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40"/>
              <w:left w:type="dxa" w:w="240"/>
              <w:bottom w:type="dxa" w:w="240"/>
              <w:right w:type="dxa" w:w="240"/>
            </w:tcMar>
            <w:vAlign w:val="top"/>
          </w:tcPr>
          <w:p>
            <w:pPr>
              <w:pStyle w:val="Table Style 2"/>
              <w:spacing w:before="60" w:after="60" w:line="312" w:lineRule="auto"/>
              <w:rPr>
                <w:b w:val="1"/>
                <w:bCs w:val="1"/>
                <w:sz w:val="22"/>
                <w:szCs w:val="22"/>
              </w:rPr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Scope</w:t>
            </w:r>
          </w:p>
          <w:p>
            <w:pPr>
              <w:pStyle w:val="Table Style 2"/>
              <w:spacing w:before="60" w:after="60" w:line="312" w:lineRule="auto"/>
            </w:pPr>
            <w:r>
              <w:rPr>
                <w:sz w:val="22"/>
                <w:szCs w:val="22"/>
                <w:rtl w:val="0"/>
                <w:lang w:val="en-US"/>
              </w:rPr>
              <w:t>Indicates what will and will not be included in the study (e.g., international markets, specific brands, R&amp;D activities)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40"/>
              <w:left w:type="dxa" w:w="240"/>
              <w:bottom w:type="dxa" w:w="240"/>
              <w:right w:type="dxa" w:w="240"/>
            </w:tcMar>
            <w:vAlign w:val="top"/>
          </w:tcPr>
          <w:p>
            <w:pPr>
              <w:pStyle w:val="Table Style 2"/>
              <w:spacing w:before="60" w:after="60" w:line="312" w:lineRule="auto"/>
              <w:rPr>
                <w:b w:val="1"/>
                <w:bCs w:val="1"/>
                <w:sz w:val="22"/>
                <w:szCs w:val="22"/>
              </w:rPr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Sources of insight</w:t>
            </w:r>
          </w:p>
          <w:p>
            <w:pPr>
              <w:pStyle w:val="Table Style 2"/>
              <w:spacing w:before="60" w:after="60" w:line="312" w:lineRule="auto"/>
            </w:pPr>
            <w:r>
              <w:rPr>
                <w:sz w:val="22"/>
                <w:szCs w:val="22"/>
                <w:rtl w:val="0"/>
                <w:lang w:val="en-US"/>
              </w:rPr>
              <w:t>Identifies where expertise, knowledge, and approaches exist (e.g., key company people, industry benchmarks, previous analysis)</w:t>
            </w:r>
          </w:p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